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FE4" w:rsidRDefault="00A25898" w:rsidP="00EA2985">
      <w:pPr>
        <w:pStyle w:val="Heading1"/>
      </w:pPr>
      <w:r>
        <w:t xml:space="preserve"> </w:t>
      </w:r>
      <w:r w:rsidR="00870F1F">
        <w:t>Sales Objectives and Implementation</w:t>
      </w:r>
    </w:p>
    <w:p w:rsidR="00870F1F" w:rsidRDefault="00870F1F">
      <w:r w:rsidRPr="00870F1F">
        <w:t>We must walk a difficult tightrope to adapt our business to new technologies, without losing our stronghold among professional musicians. We will need to let our market share drop a bit in the slow-growth acoustics segments of the market, while we significantly increase our share in keyboards, speakers, and other electronic equipment. We want to maintain continuity and tradition even while the industry sorts itself out with changes in market and technology. There will always be a traditional segment, and Encore will always be there.</w:t>
      </w:r>
    </w:p>
    <w:p w:rsidR="00206D13" w:rsidRDefault="00312410">
      <w:r>
        <w:rPr>
          <w:rFonts w:ascii="Arial" w:hAnsi="Arial" w:cs="Arial"/>
          <w:noProof/>
          <w:color w:val="0000FF"/>
          <w:sz w:val="27"/>
          <w:szCs w:val="27"/>
          <w:shd w:val="clear" w:color="auto" w:fill="CCCCCC"/>
        </w:rPr>
        <w:drawing>
          <wp:inline distT="0" distB="0" distL="0" distR="0">
            <wp:extent cx="2636520" cy="1733550"/>
            <wp:effectExtent l="19050" t="0" r="0" b="0"/>
            <wp:docPr id="90" name="Picture 90" descr="https://encrypted-tbn1.gstatic.com/images?q=tbn:ANd9GcRGylfgqwW3wiX6IGNrJKPZacSuAzhDXuGSXecxMk-TuVMvzf7K2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encrypted-tbn1.gstatic.com/images?q=tbn:ANd9GcRGylfgqwW3wiX6IGNrJKPZacSuAzhDXuGSXecxMk-TuVMvzf7K2w">
                      <a:hlinkClick r:id="rId7"/>
                    </pic:cNvPr>
                    <pic:cNvPicPr>
                      <a:picLocks noChangeAspect="1" noChangeArrowheads="1"/>
                    </pic:cNvPicPr>
                  </pic:nvPicPr>
                  <pic:blipFill>
                    <a:blip r:embed="rId8" cstate="print"/>
                    <a:srcRect/>
                    <a:stretch>
                      <a:fillRect/>
                    </a:stretch>
                  </pic:blipFill>
                  <pic:spPr bwMode="auto">
                    <a:xfrm>
                      <a:off x="0" y="0"/>
                      <a:ext cx="2636520" cy="1733550"/>
                    </a:xfrm>
                    <a:prstGeom prst="rect">
                      <a:avLst/>
                    </a:prstGeom>
                    <a:noFill/>
                    <a:ln w="9525">
                      <a:noFill/>
                      <a:miter lim="800000"/>
                      <a:headEnd/>
                      <a:tailEnd/>
                    </a:ln>
                  </pic:spPr>
                </pic:pic>
              </a:graphicData>
            </a:graphic>
          </wp:inline>
        </w:drawing>
      </w:r>
    </w:p>
    <w:p w:rsidR="00870F1F" w:rsidRDefault="00870F1F" w:rsidP="00EA2985">
      <w:pPr>
        <w:pStyle w:val="Heading1"/>
      </w:pPr>
      <w:r w:rsidRPr="00870F1F">
        <w:t>Marketing Strategy</w:t>
      </w:r>
    </w:p>
    <w:p w:rsidR="00870F1F" w:rsidRDefault="00870F1F" w:rsidP="00870F1F">
      <w:r>
        <w:t>Our strategy focuses on key opinion leaders to maintain our position in the traditional music sector, while simultaneously developing new technologies that will protect our long-term position and may eventually lead us to new markets:</w:t>
      </w:r>
    </w:p>
    <w:p w:rsidR="00870F1F" w:rsidRDefault="00870F1F" w:rsidP="00870F1F">
      <w:r>
        <w:t xml:space="preserve">1. We must maintain positioning as a traditional and high-quality manufacturer, playing to our strengths and away from our weaknesses. </w:t>
      </w:r>
    </w:p>
    <w:p w:rsidR="00870F1F" w:rsidRDefault="00870F1F" w:rsidP="00870F1F">
      <w:r>
        <w:t xml:space="preserve">2. Where possible, we must position our marketing communications to emphasize good relations with specialty media and opinion leaders. Programs like the endorsement program, including give-away units, are most important. We need to keep our name and reputation in the minds of the true professionals. </w:t>
      </w:r>
    </w:p>
    <w:p w:rsidR="00870F1F" w:rsidRDefault="00870F1F" w:rsidP="00870F1F">
      <w:r>
        <w:t>3. We will continue to maintain focused high-prestige channels in a few major cities. Our customers know and respect our channels.</w:t>
      </w:r>
    </w:p>
    <w:p w:rsidR="00870F1F" w:rsidRDefault="00870F1F" w:rsidP="00870F1F">
      <w:r>
        <w:t>The following table shows the market share that Encore Musical Instruments expects over the next five years.</w:t>
      </w:r>
    </w:p>
    <w:p w:rsidR="008C001A" w:rsidRDefault="008C001A">
      <w:pPr>
        <w:rPr>
          <w:rFonts w:eastAsia="Times New Roman"/>
          <w:b/>
          <w:bCs/>
          <w:color w:val="E65B01"/>
          <w:sz w:val="28"/>
          <w:szCs w:val="28"/>
        </w:rPr>
      </w:pPr>
      <w:r>
        <w:br w:type="page"/>
      </w:r>
    </w:p>
    <w:p w:rsidR="00870F1F" w:rsidRDefault="00870F1F" w:rsidP="00EA2985">
      <w:pPr>
        <w:pStyle w:val="Heading1"/>
      </w:pPr>
      <w:r>
        <w:lastRenderedPageBreak/>
        <w:t>Market Share Objectives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96"/>
        <w:gridCol w:w="1596"/>
        <w:gridCol w:w="1596"/>
        <w:gridCol w:w="1596"/>
        <w:gridCol w:w="1596"/>
        <w:gridCol w:w="1596"/>
      </w:tblGrid>
      <w:tr w:rsidR="00EA2985" w:rsidRPr="00FB26CF" w:rsidTr="00FB26CF">
        <w:tc>
          <w:tcPr>
            <w:tcW w:w="1596" w:type="dxa"/>
          </w:tcPr>
          <w:p w:rsidR="00EA2985" w:rsidRPr="00FB26CF" w:rsidRDefault="00EA2985" w:rsidP="00FB26CF">
            <w:pPr>
              <w:spacing w:after="0" w:line="240" w:lineRule="auto"/>
            </w:pPr>
            <w:r w:rsidRPr="00FB26CF">
              <w:t>PER MARKET SEGMENT</w:t>
            </w:r>
          </w:p>
        </w:tc>
        <w:tc>
          <w:tcPr>
            <w:tcW w:w="1596" w:type="dxa"/>
          </w:tcPr>
          <w:p w:rsidR="00EA2985" w:rsidRPr="00FB26CF" w:rsidRDefault="00EA2985" w:rsidP="00FB26CF">
            <w:pPr>
              <w:spacing w:after="0" w:line="240" w:lineRule="auto"/>
            </w:pPr>
          </w:p>
        </w:tc>
        <w:tc>
          <w:tcPr>
            <w:tcW w:w="1596" w:type="dxa"/>
          </w:tcPr>
          <w:p w:rsidR="00EA2985" w:rsidRPr="00FB26CF" w:rsidRDefault="00EA2985" w:rsidP="00FB26CF">
            <w:pPr>
              <w:spacing w:after="0" w:line="240" w:lineRule="auto"/>
            </w:pPr>
          </w:p>
        </w:tc>
        <w:tc>
          <w:tcPr>
            <w:tcW w:w="1596" w:type="dxa"/>
          </w:tcPr>
          <w:p w:rsidR="00EA2985" w:rsidRPr="00FB26CF" w:rsidRDefault="00EA2985" w:rsidP="00FB26CF">
            <w:pPr>
              <w:spacing w:after="0" w:line="240" w:lineRule="auto"/>
            </w:pPr>
          </w:p>
        </w:tc>
        <w:tc>
          <w:tcPr>
            <w:tcW w:w="1596" w:type="dxa"/>
          </w:tcPr>
          <w:p w:rsidR="00EA2985" w:rsidRPr="00FB26CF" w:rsidRDefault="00EA2985" w:rsidP="00FB26CF">
            <w:pPr>
              <w:spacing w:after="0" w:line="240" w:lineRule="auto"/>
            </w:pPr>
          </w:p>
        </w:tc>
        <w:tc>
          <w:tcPr>
            <w:tcW w:w="1596" w:type="dxa"/>
          </w:tcPr>
          <w:p w:rsidR="00EA2985" w:rsidRPr="00FB26CF" w:rsidRDefault="00EA2985" w:rsidP="00FB26CF">
            <w:pPr>
              <w:spacing w:after="0" w:line="240" w:lineRule="auto"/>
            </w:pPr>
          </w:p>
        </w:tc>
      </w:tr>
      <w:tr w:rsidR="00EA2985" w:rsidRPr="00FB26CF" w:rsidTr="00FB26CF">
        <w:tc>
          <w:tcPr>
            <w:tcW w:w="1596" w:type="dxa"/>
          </w:tcPr>
          <w:p w:rsidR="00EA2985" w:rsidRPr="00FB26CF" w:rsidRDefault="00EA2985" w:rsidP="00FB26CF">
            <w:pPr>
              <w:spacing w:after="0" w:line="240" w:lineRule="auto"/>
            </w:pPr>
          </w:p>
        </w:tc>
        <w:tc>
          <w:tcPr>
            <w:tcW w:w="1596" w:type="dxa"/>
          </w:tcPr>
          <w:p w:rsidR="00EA2985" w:rsidRPr="00FB26CF" w:rsidRDefault="00EA2985" w:rsidP="00FB26CF">
            <w:pPr>
              <w:spacing w:after="0" w:line="240" w:lineRule="auto"/>
            </w:pPr>
            <w:r w:rsidRPr="00FB26CF">
              <w:t>1995</w:t>
            </w:r>
          </w:p>
        </w:tc>
        <w:tc>
          <w:tcPr>
            <w:tcW w:w="1596" w:type="dxa"/>
          </w:tcPr>
          <w:p w:rsidR="00EA2985" w:rsidRPr="00FB26CF" w:rsidRDefault="00EA2985" w:rsidP="00FB26CF">
            <w:pPr>
              <w:spacing w:after="0" w:line="240" w:lineRule="auto"/>
            </w:pPr>
            <w:r w:rsidRPr="00FB26CF">
              <w:t>1996</w:t>
            </w:r>
          </w:p>
        </w:tc>
        <w:tc>
          <w:tcPr>
            <w:tcW w:w="1596" w:type="dxa"/>
          </w:tcPr>
          <w:p w:rsidR="00EA2985" w:rsidRPr="00FB26CF" w:rsidRDefault="00EA2985" w:rsidP="00FB26CF">
            <w:pPr>
              <w:spacing w:after="0" w:line="240" w:lineRule="auto"/>
            </w:pPr>
            <w:r w:rsidRPr="00FB26CF">
              <w:t>1997</w:t>
            </w:r>
          </w:p>
        </w:tc>
        <w:tc>
          <w:tcPr>
            <w:tcW w:w="1596" w:type="dxa"/>
          </w:tcPr>
          <w:p w:rsidR="00EA2985" w:rsidRPr="00FB26CF" w:rsidRDefault="00EA2985" w:rsidP="00FB26CF">
            <w:pPr>
              <w:spacing w:after="0" w:line="240" w:lineRule="auto"/>
            </w:pPr>
            <w:r w:rsidRPr="00FB26CF">
              <w:t>1998</w:t>
            </w:r>
          </w:p>
        </w:tc>
        <w:tc>
          <w:tcPr>
            <w:tcW w:w="1596" w:type="dxa"/>
          </w:tcPr>
          <w:p w:rsidR="00EA2985" w:rsidRPr="00FB26CF" w:rsidRDefault="00EA2985" w:rsidP="00FB26CF">
            <w:pPr>
              <w:spacing w:after="0" w:line="240" w:lineRule="auto"/>
            </w:pPr>
            <w:r w:rsidRPr="00FB26CF">
              <w:t>1999</w:t>
            </w:r>
          </w:p>
        </w:tc>
      </w:tr>
      <w:tr w:rsidR="00EA2985" w:rsidRPr="00FB26CF" w:rsidTr="00FB26CF">
        <w:tc>
          <w:tcPr>
            <w:tcW w:w="1596" w:type="dxa"/>
          </w:tcPr>
          <w:p w:rsidR="00EA2985" w:rsidRPr="00FB26CF" w:rsidRDefault="00EA2985" w:rsidP="00FB26CF">
            <w:pPr>
              <w:spacing w:after="0" w:line="240" w:lineRule="auto"/>
            </w:pPr>
            <w:r w:rsidRPr="00FB26CF">
              <w:t>Acoustic</w:t>
            </w:r>
          </w:p>
        </w:tc>
        <w:tc>
          <w:tcPr>
            <w:tcW w:w="1596" w:type="dxa"/>
          </w:tcPr>
          <w:p w:rsidR="00EA2985" w:rsidRPr="00FB26CF" w:rsidRDefault="00EA2985" w:rsidP="00FB26CF">
            <w:pPr>
              <w:spacing w:after="0" w:line="240" w:lineRule="auto"/>
            </w:pPr>
            <w:r w:rsidRPr="00FB26CF">
              <w:t>30.00%</w:t>
            </w:r>
          </w:p>
        </w:tc>
        <w:tc>
          <w:tcPr>
            <w:tcW w:w="1596" w:type="dxa"/>
          </w:tcPr>
          <w:p w:rsidR="00EA2985" w:rsidRPr="00FB26CF" w:rsidRDefault="00EA2985" w:rsidP="00FB26CF">
            <w:pPr>
              <w:spacing w:after="0" w:line="240" w:lineRule="auto"/>
            </w:pPr>
            <w:r w:rsidRPr="00FB26CF">
              <w:t>30.00%</w:t>
            </w:r>
          </w:p>
        </w:tc>
        <w:tc>
          <w:tcPr>
            <w:tcW w:w="1596" w:type="dxa"/>
          </w:tcPr>
          <w:p w:rsidR="00EA2985" w:rsidRPr="00FB26CF" w:rsidRDefault="00EA2985" w:rsidP="00FB26CF">
            <w:pPr>
              <w:spacing w:after="0" w:line="240" w:lineRule="auto"/>
            </w:pPr>
            <w:r w:rsidRPr="00FB26CF">
              <w:t>26.00%</w:t>
            </w:r>
          </w:p>
        </w:tc>
        <w:tc>
          <w:tcPr>
            <w:tcW w:w="1596" w:type="dxa"/>
          </w:tcPr>
          <w:p w:rsidR="00EA2985" w:rsidRPr="00FB26CF" w:rsidRDefault="00EA2985" w:rsidP="00FB26CF">
            <w:pPr>
              <w:spacing w:after="0" w:line="240" w:lineRule="auto"/>
            </w:pPr>
            <w:r w:rsidRPr="00FB26CF">
              <w:t>26.00%</w:t>
            </w:r>
          </w:p>
        </w:tc>
        <w:tc>
          <w:tcPr>
            <w:tcW w:w="1596" w:type="dxa"/>
          </w:tcPr>
          <w:p w:rsidR="00EA2985" w:rsidRPr="00FB26CF" w:rsidRDefault="00EA2985" w:rsidP="00FB26CF">
            <w:pPr>
              <w:spacing w:after="0" w:line="240" w:lineRule="auto"/>
            </w:pPr>
            <w:r w:rsidRPr="00FB26CF">
              <w:t>24.00%</w:t>
            </w:r>
          </w:p>
        </w:tc>
      </w:tr>
      <w:tr w:rsidR="00EA2985" w:rsidRPr="00FB26CF" w:rsidTr="00FB26CF">
        <w:tc>
          <w:tcPr>
            <w:tcW w:w="1596" w:type="dxa"/>
          </w:tcPr>
          <w:p w:rsidR="00EA2985" w:rsidRPr="00FB26CF" w:rsidRDefault="00EA2985" w:rsidP="00FB26CF">
            <w:pPr>
              <w:spacing w:after="0" w:line="240" w:lineRule="auto"/>
            </w:pPr>
            <w:r w:rsidRPr="00FB26CF">
              <w:t>Electric</w:t>
            </w:r>
          </w:p>
        </w:tc>
        <w:tc>
          <w:tcPr>
            <w:tcW w:w="1596" w:type="dxa"/>
          </w:tcPr>
          <w:p w:rsidR="00EA2985" w:rsidRPr="00FB26CF" w:rsidRDefault="00EA2985" w:rsidP="00FB26CF">
            <w:pPr>
              <w:spacing w:after="0" w:line="240" w:lineRule="auto"/>
            </w:pPr>
            <w:r w:rsidRPr="00FB26CF">
              <w:t>18.96%</w:t>
            </w:r>
          </w:p>
        </w:tc>
        <w:tc>
          <w:tcPr>
            <w:tcW w:w="1596" w:type="dxa"/>
          </w:tcPr>
          <w:p w:rsidR="00EA2985" w:rsidRPr="00FB26CF" w:rsidRDefault="00EA2985" w:rsidP="00FB26CF">
            <w:pPr>
              <w:spacing w:after="0" w:line="240" w:lineRule="auto"/>
            </w:pPr>
            <w:r w:rsidRPr="00FB26CF">
              <w:t>17.00%</w:t>
            </w:r>
          </w:p>
        </w:tc>
        <w:tc>
          <w:tcPr>
            <w:tcW w:w="1596" w:type="dxa"/>
          </w:tcPr>
          <w:p w:rsidR="00EA2985" w:rsidRPr="00FB26CF" w:rsidRDefault="00EA2985" w:rsidP="00FB26CF">
            <w:pPr>
              <w:spacing w:after="0" w:line="240" w:lineRule="auto"/>
            </w:pPr>
            <w:r w:rsidRPr="00FB26CF">
              <w:t>15.00%</w:t>
            </w:r>
          </w:p>
        </w:tc>
        <w:tc>
          <w:tcPr>
            <w:tcW w:w="1596" w:type="dxa"/>
          </w:tcPr>
          <w:p w:rsidR="00EA2985" w:rsidRPr="00FB26CF" w:rsidRDefault="00EA2985" w:rsidP="00FB26CF">
            <w:pPr>
              <w:spacing w:after="0" w:line="240" w:lineRule="auto"/>
            </w:pPr>
            <w:r w:rsidRPr="00FB26CF">
              <w:t>12.00%</w:t>
            </w:r>
          </w:p>
        </w:tc>
        <w:tc>
          <w:tcPr>
            <w:tcW w:w="1596" w:type="dxa"/>
          </w:tcPr>
          <w:p w:rsidR="00EA2985" w:rsidRPr="00FB26CF" w:rsidRDefault="00EA2985" w:rsidP="00FB26CF">
            <w:pPr>
              <w:spacing w:after="0" w:line="240" w:lineRule="auto"/>
            </w:pPr>
            <w:r w:rsidRPr="00FB26CF">
              <w:t>9.00%</w:t>
            </w:r>
          </w:p>
        </w:tc>
      </w:tr>
      <w:tr w:rsidR="00EA2985" w:rsidRPr="00FB26CF" w:rsidTr="00FB26CF">
        <w:tc>
          <w:tcPr>
            <w:tcW w:w="1596" w:type="dxa"/>
          </w:tcPr>
          <w:p w:rsidR="00EA2985" w:rsidRPr="00FB26CF" w:rsidRDefault="00EA2985" w:rsidP="00FB26CF">
            <w:pPr>
              <w:spacing w:after="0" w:line="240" w:lineRule="auto"/>
            </w:pPr>
            <w:r w:rsidRPr="00FB26CF">
              <w:t>Keyboards</w:t>
            </w:r>
          </w:p>
        </w:tc>
        <w:tc>
          <w:tcPr>
            <w:tcW w:w="1596" w:type="dxa"/>
          </w:tcPr>
          <w:p w:rsidR="00EA2985" w:rsidRPr="00FB26CF" w:rsidRDefault="00EA2985" w:rsidP="00FB26CF">
            <w:pPr>
              <w:spacing w:after="0" w:line="240" w:lineRule="auto"/>
            </w:pPr>
            <w:r w:rsidRPr="00FB26CF">
              <w:t>14.00%</w:t>
            </w:r>
          </w:p>
        </w:tc>
        <w:tc>
          <w:tcPr>
            <w:tcW w:w="1596" w:type="dxa"/>
          </w:tcPr>
          <w:p w:rsidR="00EA2985" w:rsidRPr="00FB26CF" w:rsidRDefault="00EA2985" w:rsidP="00FB26CF">
            <w:pPr>
              <w:spacing w:after="0" w:line="240" w:lineRule="auto"/>
            </w:pPr>
            <w:r w:rsidRPr="00FB26CF">
              <w:t>15.00%</w:t>
            </w:r>
          </w:p>
        </w:tc>
        <w:tc>
          <w:tcPr>
            <w:tcW w:w="1596" w:type="dxa"/>
          </w:tcPr>
          <w:p w:rsidR="00EA2985" w:rsidRPr="00FB26CF" w:rsidRDefault="00EA2985" w:rsidP="00FB26CF">
            <w:pPr>
              <w:spacing w:after="0" w:line="240" w:lineRule="auto"/>
            </w:pPr>
            <w:r w:rsidRPr="00FB26CF">
              <w:t>17.00%</w:t>
            </w:r>
          </w:p>
        </w:tc>
        <w:tc>
          <w:tcPr>
            <w:tcW w:w="1596" w:type="dxa"/>
          </w:tcPr>
          <w:p w:rsidR="00EA2985" w:rsidRPr="00FB26CF" w:rsidRDefault="00EA2985" w:rsidP="00FB26CF">
            <w:pPr>
              <w:spacing w:after="0" w:line="240" w:lineRule="auto"/>
            </w:pPr>
            <w:r w:rsidRPr="00FB26CF">
              <w:t>25.00%</w:t>
            </w:r>
          </w:p>
        </w:tc>
        <w:tc>
          <w:tcPr>
            <w:tcW w:w="1596" w:type="dxa"/>
          </w:tcPr>
          <w:p w:rsidR="00EA2985" w:rsidRPr="00FB26CF" w:rsidRDefault="00EA2985" w:rsidP="00FB26CF">
            <w:pPr>
              <w:spacing w:after="0" w:line="240" w:lineRule="auto"/>
            </w:pPr>
            <w:r w:rsidRPr="00FB26CF">
              <w:t>35.00%</w:t>
            </w:r>
          </w:p>
        </w:tc>
      </w:tr>
      <w:tr w:rsidR="00EA2985" w:rsidRPr="00FB26CF" w:rsidTr="00FB26CF">
        <w:tc>
          <w:tcPr>
            <w:tcW w:w="1596" w:type="dxa"/>
          </w:tcPr>
          <w:p w:rsidR="00EA2985" w:rsidRPr="00FB26CF" w:rsidRDefault="00EA2985" w:rsidP="00FB26CF">
            <w:pPr>
              <w:spacing w:after="0" w:line="240" w:lineRule="auto"/>
            </w:pPr>
            <w:r w:rsidRPr="00FB26CF">
              <w:t>Speakers</w:t>
            </w:r>
          </w:p>
        </w:tc>
        <w:tc>
          <w:tcPr>
            <w:tcW w:w="1596" w:type="dxa"/>
          </w:tcPr>
          <w:p w:rsidR="00EA2985" w:rsidRPr="00FB26CF" w:rsidRDefault="00EA2985" w:rsidP="00FB26CF">
            <w:pPr>
              <w:spacing w:after="0" w:line="240" w:lineRule="auto"/>
            </w:pPr>
            <w:r w:rsidRPr="00FB26CF">
              <w:t>6.00%</w:t>
            </w:r>
          </w:p>
        </w:tc>
        <w:tc>
          <w:tcPr>
            <w:tcW w:w="1596" w:type="dxa"/>
          </w:tcPr>
          <w:p w:rsidR="00EA2985" w:rsidRPr="00FB26CF" w:rsidRDefault="00EA2985" w:rsidP="00FB26CF">
            <w:pPr>
              <w:spacing w:after="0" w:line="240" w:lineRule="auto"/>
            </w:pPr>
            <w:r w:rsidRPr="00FB26CF">
              <w:t>8.00%</w:t>
            </w:r>
          </w:p>
        </w:tc>
        <w:tc>
          <w:tcPr>
            <w:tcW w:w="1596" w:type="dxa"/>
          </w:tcPr>
          <w:p w:rsidR="00EA2985" w:rsidRPr="00FB26CF" w:rsidRDefault="00EA2985" w:rsidP="00FB26CF">
            <w:pPr>
              <w:spacing w:after="0" w:line="240" w:lineRule="auto"/>
            </w:pPr>
            <w:r w:rsidRPr="00FB26CF">
              <w:t>10.00%</w:t>
            </w:r>
          </w:p>
        </w:tc>
        <w:tc>
          <w:tcPr>
            <w:tcW w:w="1596" w:type="dxa"/>
          </w:tcPr>
          <w:p w:rsidR="00EA2985" w:rsidRPr="00FB26CF" w:rsidRDefault="00EA2985" w:rsidP="00FB26CF">
            <w:pPr>
              <w:spacing w:after="0" w:line="240" w:lineRule="auto"/>
            </w:pPr>
            <w:r w:rsidRPr="00FB26CF">
              <w:t>15.00%</w:t>
            </w:r>
          </w:p>
        </w:tc>
        <w:tc>
          <w:tcPr>
            <w:tcW w:w="1596" w:type="dxa"/>
          </w:tcPr>
          <w:p w:rsidR="00EA2985" w:rsidRPr="00FB26CF" w:rsidRDefault="00EA2985" w:rsidP="00FB26CF">
            <w:pPr>
              <w:spacing w:after="0" w:line="240" w:lineRule="auto"/>
            </w:pPr>
            <w:r w:rsidRPr="00FB26CF">
              <w:t>25.00%</w:t>
            </w:r>
          </w:p>
        </w:tc>
      </w:tr>
      <w:tr w:rsidR="00EA2985" w:rsidRPr="00FB26CF" w:rsidTr="00FB26CF">
        <w:tc>
          <w:tcPr>
            <w:tcW w:w="1596" w:type="dxa"/>
          </w:tcPr>
          <w:p w:rsidR="00EA2985" w:rsidRPr="00FB26CF" w:rsidRDefault="00EA2985" w:rsidP="00FB26CF">
            <w:pPr>
              <w:spacing w:after="0" w:line="240" w:lineRule="auto"/>
            </w:pPr>
            <w:r w:rsidRPr="00FB26CF">
              <w:t>Electronics</w:t>
            </w:r>
          </w:p>
        </w:tc>
        <w:tc>
          <w:tcPr>
            <w:tcW w:w="1596" w:type="dxa"/>
          </w:tcPr>
          <w:p w:rsidR="00EA2985" w:rsidRPr="00FB26CF" w:rsidRDefault="00EA2985" w:rsidP="00FB26CF">
            <w:pPr>
              <w:spacing w:after="0" w:line="240" w:lineRule="auto"/>
            </w:pPr>
            <w:r w:rsidRPr="00FB26CF">
              <w:t>14.20%</w:t>
            </w:r>
          </w:p>
        </w:tc>
        <w:tc>
          <w:tcPr>
            <w:tcW w:w="1596" w:type="dxa"/>
          </w:tcPr>
          <w:p w:rsidR="00EA2985" w:rsidRPr="00FB26CF" w:rsidRDefault="00EA2985" w:rsidP="00FB26CF">
            <w:pPr>
              <w:spacing w:after="0" w:line="240" w:lineRule="auto"/>
            </w:pPr>
            <w:r w:rsidRPr="00FB26CF">
              <w:t>15.00%</w:t>
            </w:r>
          </w:p>
        </w:tc>
        <w:tc>
          <w:tcPr>
            <w:tcW w:w="1596" w:type="dxa"/>
          </w:tcPr>
          <w:p w:rsidR="00EA2985" w:rsidRPr="00FB26CF" w:rsidRDefault="00EA2985" w:rsidP="00FB26CF">
            <w:pPr>
              <w:spacing w:after="0" w:line="240" w:lineRule="auto"/>
            </w:pPr>
            <w:r w:rsidRPr="00FB26CF">
              <w:t>17.50%</w:t>
            </w:r>
          </w:p>
        </w:tc>
        <w:tc>
          <w:tcPr>
            <w:tcW w:w="1596" w:type="dxa"/>
          </w:tcPr>
          <w:p w:rsidR="00EA2985" w:rsidRPr="00FB26CF" w:rsidRDefault="00EA2985" w:rsidP="00FB26CF">
            <w:pPr>
              <w:spacing w:after="0" w:line="240" w:lineRule="auto"/>
            </w:pPr>
            <w:r w:rsidRPr="00FB26CF">
              <w:t>20.00%</w:t>
            </w:r>
          </w:p>
        </w:tc>
        <w:tc>
          <w:tcPr>
            <w:tcW w:w="1596" w:type="dxa"/>
          </w:tcPr>
          <w:p w:rsidR="00EA2985" w:rsidRPr="00FB26CF" w:rsidRDefault="00EA2985" w:rsidP="00FB26CF">
            <w:pPr>
              <w:spacing w:after="0" w:line="240" w:lineRule="auto"/>
            </w:pPr>
            <w:r w:rsidRPr="00FB26CF">
              <w:t>20.00%</w:t>
            </w:r>
          </w:p>
        </w:tc>
      </w:tr>
    </w:tbl>
    <w:p w:rsidR="00870F1F" w:rsidRDefault="00870F1F" w:rsidP="00870F1F"/>
    <w:p w:rsidR="00870F1F" w:rsidRDefault="00870F1F" w:rsidP="00870F1F"/>
    <w:p w:rsidR="00870F1F" w:rsidRDefault="00870F1F" w:rsidP="00EA2985">
      <w:pPr>
        <w:pStyle w:val="Heading1"/>
      </w:pPr>
      <w:r>
        <w:t>Sales Plan Changes</w:t>
      </w:r>
    </w:p>
    <w:p w:rsidR="00870F1F" w:rsidRDefault="00870F1F" w:rsidP="00870F1F">
      <w:r>
        <w:t xml:space="preserve">We will continue to sell through selected prestige retailers in these major cities: New York, Chicago, San Francisco, Seattle, Toronto, London, Tokyo, and Hong Kong. </w:t>
      </w:r>
    </w:p>
    <w:p w:rsidR="00870F1F" w:rsidRDefault="00870F1F" w:rsidP="00870F1F">
      <w:r>
        <w:t xml:space="preserve">The carefully selected channel strategy has worked well. There is no channel conflict, and retailers can count on maintaining their margins against competition. Our suggested retail prices allow some room for discounting programs with local professional organizations. </w:t>
      </w:r>
    </w:p>
    <w:p w:rsidR="00870F1F" w:rsidRDefault="00870F1F" w:rsidP="00870F1F">
      <w:r>
        <w:t>The following tables and accompanying charts provide a detailed sales forecast, both for the next year in quarters and for the next 5 years. It’s clear that if we reach even a portion of our projected growth, Encore has nowhere to go but up.</w:t>
      </w:r>
    </w:p>
    <w:p w:rsidR="00870F1F" w:rsidRDefault="00870F1F" w:rsidP="00870F1F"/>
    <w:p w:rsidR="00870F1F" w:rsidRDefault="001766CB" w:rsidP="00870F1F">
      <w:r>
        <w:rPr>
          <w:noProof/>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26" type="#_x0000_t104" style="position:absolute;margin-left:78.55pt;margin-top:19.65pt;width:280.5pt;height:131.85pt;z-index:251657728"/>
        </w:pict>
      </w:r>
    </w:p>
    <w:p w:rsidR="00870F1F" w:rsidRDefault="00870F1F" w:rsidP="00870F1F"/>
    <w:p w:rsidR="00870F1F" w:rsidRDefault="00870F1F" w:rsidP="00870F1F"/>
    <w:p w:rsidR="00870F1F" w:rsidRDefault="00870F1F" w:rsidP="00870F1F"/>
    <w:p w:rsidR="00870F1F" w:rsidRDefault="00870F1F" w:rsidP="00870F1F"/>
    <w:p w:rsidR="00870F1F" w:rsidRDefault="00870F1F" w:rsidP="00870F1F"/>
    <w:p w:rsidR="00870F1F" w:rsidRDefault="00870F1F"/>
    <w:sectPr w:rsidR="00870F1F" w:rsidSect="00DE3A6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75D" w:rsidRDefault="00BB475D" w:rsidP="00E332DD">
      <w:pPr>
        <w:spacing w:after="0" w:line="240" w:lineRule="auto"/>
      </w:pPr>
      <w:r>
        <w:separator/>
      </w:r>
    </w:p>
  </w:endnote>
  <w:endnote w:type="continuationSeparator" w:id="0">
    <w:p w:rsidR="00BB475D" w:rsidRDefault="00BB475D" w:rsidP="00E332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insideV w:val="single" w:sz="18" w:space="0" w:color="808080"/>
      </w:tblBorders>
      <w:tblLook w:val="04A0"/>
    </w:tblPr>
    <w:tblGrid>
      <w:gridCol w:w="993"/>
      <w:gridCol w:w="8583"/>
    </w:tblGrid>
    <w:tr w:rsidR="00BB475D" w:rsidRPr="00FB26CF">
      <w:tc>
        <w:tcPr>
          <w:tcW w:w="918" w:type="dxa"/>
        </w:tcPr>
        <w:p w:rsidR="00BB475D" w:rsidRPr="00FB26CF" w:rsidRDefault="00BB475D">
          <w:pPr>
            <w:pStyle w:val="Footer"/>
            <w:jc w:val="right"/>
            <w:rPr>
              <w:b/>
              <w:color w:val="FE8637"/>
              <w:sz w:val="24"/>
              <w:szCs w:val="24"/>
            </w:rPr>
          </w:pPr>
          <w:r w:rsidRPr="00FB26CF">
            <w:rPr>
              <w:sz w:val="24"/>
              <w:szCs w:val="24"/>
            </w:rPr>
            <w:fldChar w:fldCharType="begin"/>
          </w:r>
          <w:r w:rsidRPr="00FB26CF">
            <w:rPr>
              <w:sz w:val="24"/>
              <w:szCs w:val="24"/>
            </w:rPr>
            <w:instrText xml:space="preserve"> PAGE   \* MERGEFORMAT </w:instrText>
          </w:r>
          <w:r w:rsidRPr="00FB26CF">
            <w:rPr>
              <w:sz w:val="24"/>
              <w:szCs w:val="24"/>
            </w:rPr>
            <w:fldChar w:fldCharType="separate"/>
          </w:r>
          <w:r w:rsidR="00312410" w:rsidRPr="00312410">
            <w:rPr>
              <w:b/>
              <w:noProof/>
              <w:color w:val="FE8637"/>
              <w:sz w:val="24"/>
              <w:szCs w:val="24"/>
            </w:rPr>
            <w:t>1</w:t>
          </w:r>
          <w:r w:rsidRPr="00FB26CF">
            <w:rPr>
              <w:sz w:val="24"/>
              <w:szCs w:val="24"/>
            </w:rPr>
            <w:fldChar w:fldCharType="end"/>
          </w:r>
        </w:p>
      </w:tc>
      <w:tc>
        <w:tcPr>
          <w:tcW w:w="7938" w:type="dxa"/>
        </w:tcPr>
        <w:p w:rsidR="00BB475D" w:rsidRPr="00FB26CF" w:rsidRDefault="00BB475D">
          <w:pPr>
            <w:pStyle w:val="Footer"/>
          </w:pPr>
        </w:p>
      </w:tc>
    </w:tr>
  </w:tbl>
  <w:p w:rsidR="00BB475D" w:rsidRDefault="00BB47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75D" w:rsidRDefault="00BB475D" w:rsidP="00E332DD">
      <w:pPr>
        <w:spacing w:after="0" w:line="240" w:lineRule="auto"/>
      </w:pPr>
      <w:r>
        <w:separator/>
      </w:r>
    </w:p>
  </w:footnote>
  <w:footnote w:type="continuationSeparator" w:id="0">
    <w:p w:rsidR="00BB475D" w:rsidRDefault="00BB475D" w:rsidP="00E332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438"/>
      <w:gridCol w:w="8152"/>
    </w:tblGrid>
    <w:tr w:rsidR="00BB475D" w:rsidRPr="00FB26CF">
      <w:tc>
        <w:tcPr>
          <w:tcW w:w="750" w:type="pct"/>
          <w:tcBorders>
            <w:right w:val="single" w:sz="18" w:space="0" w:color="FE8637"/>
          </w:tcBorders>
        </w:tcPr>
        <w:p w:rsidR="00BB475D" w:rsidRPr="00FB26CF" w:rsidRDefault="00BB475D">
          <w:pPr>
            <w:pStyle w:val="Header"/>
          </w:pPr>
        </w:p>
      </w:tc>
      <w:tc>
        <w:tcPr>
          <w:tcW w:w="4250" w:type="pct"/>
          <w:tcBorders>
            <w:left w:val="single" w:sz="18" w:space="0" w:color="FE8637"/>
          </w:tcBorders>
        </w:tcPr>
        <w:p w:rsidR="00BB475D" w:rsidRPr="0086482E" w:rsidRDefault="00BB475D" w:rsidP="00C64F72">
          <w:pPr>
            <w:pStyle w:val="Header"/>
            <w:rPr>
              <w:rFonts w:eastAsia="Times New Roman"/>
              <w:color w:val="808080"/>
              <w:sz w:val="24"/>
              <w:szCs w:val="24"/>
            </w:rPr>
          </w:pPr>
          <w:r>
            <w:rPr>
              <w:rFonts w:eastAsia="Times New Roman"/>
              <w:sz w:val="24"/>
              <w:szCs w:val="24"/>
            </w:rPr>
            <w:t>Strategy document</w:t>
          </w:r>
        </w:p>
      </w:tc>
    </w:tr>
  </w:tbl>
  <w:p w:rsidR="00BB475D" w:rsidRDefault="00BB47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defaultTabStop w:val="720"/>
  <w:characterSpacingControl w:val="doNotCompress"/>
  <w:hdrShapeDefaults>
    <o:shapedefaults v:ext="edit" spidmax="20482"/>
  </w:hdrShapeDefaults>
  <w:footnotePr>
    <w:footnote w:id="-1"/>
    <w:footnote w:id="0"/>
  </w:footnotePr>
  <w:endnotePr>
    <w:endnote w:id="-1"/>
    <w:endnote w:id="0"/>
  </w:endnotePr>
  <w:compat/>
  <w:rsids>
    <w:rsidRoot w:val="00746FE4"/>
    <w:rsid w:val="000019A0"/>
    <w:rsid w:val="00056F24"/>
    <w:rsid w:val="0015621F"/>
    <w:rsid w:val="001766CB"/>
    <w:rsid w:val="00206D13"/>
    <w:rsid w:val="002457D0"/>
    <w:rsid w:val="002E6787"/>
    <w:rsid w:val="00312410"/>
    <w:rsid w:val="0037625A"/>
    <w:rsid w:val="004B21C7"/>
    <w:rsid w:val="004C3A74"/>
    <w:rsid w:val="00663EE3"/>
    <w:rsid w:val="006922C4"/>
    <w:rsid w:val="00746FE4"/>
    <w:rsid w:val="007F20CC"/>
    <w:rsid w:val="0081557A"/>
    <w:rsid w:val="0086482E"/>
    <w:rsid w:val="00870F1F"/>
    <w:rsid w:val="00882553"/>
    <w:rsid w:val="00887E2E"/>
    <w:rsid w:val="008A328E"/>
    <w:rsid w:val="008C001A"/>
    <w:rsid w:val="008E5548"/>
    <w:rsid w:val="00900499"/>
    <w:rsid w:val="009241CF"/>
    <w:rsid w:val="00A25898"/>
    <w:rsid w:val="00A44B61"/>
    <w:rsid w:val="00AB43C4"/>
    <w:rsid w:val="00BB475D"/>
    <w:rsid w:val="00C64F72"/>
    <w:rsid w:val="00DB0719"/>
    <w:rsid w:val="00DE3A6B"/>
    <w:rsid w:val="00E332DD"/>
    <w:rsid w:val="00E350DE"/>
    <w:rsid w:val="00E94614"/>
    <w:rsid w:val="00EA2985"/>
    <w:rsid w:val="00F024E5"/>
    <w:rsid w:val="00F8404B"/>
    <w:rsid w:val="00FB26CF"/>
    <w:rsid w:val="00FD5E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Schoolbook" w:eastAsia="Century Schoolbook" w:hAnsi="Century Schoolboo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6B"/>
    <w:pPr>
      <w:spacing w:after="200" w:line="276" w:lineRule="auto"/>
    </w:pPr>
    <w:rPr>
      <w:sz w:val="22"/>
      <w:szCs w:val="22"/>
    </w:rPr>
  </w:style>
  <w:style w:type="paragraph" w:styleId="Heading1">
    <w:name w:val="heading 1"/>
    <w:basedOn w:val="Normal"/>
    <w:next w:val="Normal"/>
    <w:link w:val="Heading1Char"/>
    <w:uiPriority w:val="9"/>
    <w:qFormat/>
    <w:rsid w:val="00EA2985"/>
    <w:pPr>
      <w:keepNext/>
      <w:keepLines/>
      <w:spacing w:before="480" w:after="0"/>
      <w:outlineLvl w:val="0"/>
    </w:pPr>
    <w:rPr>
      <w:rFonts w:eastAsia="Times New Roman"/>
      <w:b/>
      <w:bCs/>
      <w:color w:val="E65B0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985"/>
    <w:rPr>
      <w:rFonts w:ascii="Century Schoolbook" w:eastAsia="Times New Roman" w:hAnsi="Century Schoolbook" w:cs="Times New Roman"/>
      <w:b/>
      <w:bCs/>
      <w:color w:val="E65B01"/>
      <w:sz w:val="28"/>
      <w:szCs w:val="28"/>
    </w:rPr>
  </w:style>
  <w:style w:type="table" w:styleId="TableGrid">
    <w:name w:val="Table Grid"/>
    <w:basedOn w:val="TableNormal"/>
    <w:uiPriority w:val="59"/>
    <w:rsid w:val="00EA29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E3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2DD"/>
  </w:style>
  <w:style w:type="paragraph" w:styleId="Footer">
    <w:name w:val="footer"/>
    <w:basedOn w:val="Normal"/>
    <w:link w:val="FooterChar"/>
    <w:uiPriority w:val="99"/>
    <w:unhideWhenUsed/>
    <w:rsid w:val="00E3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2DD"/>
  </w:style>
  <w:style w:type="paragraph" w:styleId="BalloonText">
    <w:name w:val="Balloon Text"/>
    <w:basedOn w:val="Normal"/>
    <w:link w:val="BalloonTextChar"/>
    <w:uiPriority w:val="99"/>
    <w:semiHidden/>
    <w:unhideWhenUsed/>
    <w:rsid w:val="00E33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2DD"/>
    <w:rPr>
      <w:rFonts w:ascii="Tahoma" w:hAnsi="Tahoma" w:cs="Tahoma"/>
      <w:sz w:val="16"/>
      <w:szCs w:val="16"/>
    </w:rPr>
  </w:style>
  <w:style w:type="paragraph" w:styleId="Subtitle">
    <w:name w:val="Subtitle"/>
    <w:basedOn w:val="Normal"/>
    <w:next w:val="Normal"/>
    <w:link w:val="SubtitleChar"/>
    <w:uiPriority w:val="11"/>
    <w:qFormat/>
    <w:rsid w:val="00E332DD"/>
    <w:pPr>
      <w:numPr>
        <w:ilvl w:val="1"/>
      </w:numPr>
    </w:pPr>
    <w:rPr>
      <w:rFonts w:eastAsia="Times New Roman"/>
      <w:i/>
      <w:iCs/>
      <w:color w:val="FE8637"/>
      <w:spacing w:val="15"/>
      <w:sz w:val="24"/>
      <w:szCs w:val="24"/>
    </w:rPr>
  </w:style>
  <w:style w:type="character" w:customStyle="1" w:styleId="SubtitleChar">
    <w:name w:val="Subtitle Char"/>
    <w:basedOn w:val="DefaultParagraphFont"/>
    <w:link w:val="Subtitle"/>
    <w:uiPriority w:val="11"/>
    <w:rsid w:val="00E332DD"/>
    <w:rPr>
      <w:rFonts w:ascii="Century Schoolbook" w:eastAsia="Times New Roman" w:hAnsi="Century Schoolbook" w:cs="Times New Roman"/>
      <w:i/>
      <w:iCs/>
      <w:color w:val="FE8637"/>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oogle.com/imgres?safe=off&amp;sa=G&amp;hl=en&amp;tbm=isch&amp;tbnid=AbbtNh9YD7P9aM:&amp;imgrefurl=http://commons.wikimedia.org/wiki/File:Vienna_-_Detail_of_a_Baroque_Piano_Keyboard_-_9539.jpg&amp;docid=QosKfcewtvI4tM&amp;imgurl=http://upload.wikimedia.org/wikipedia/commons/d/d6/Vienna_-_Detail_of_a_Baroque_Piano_Keyboard_-_9539.jpg&amp;w=1600&amp;h=1055&amp;ei=IVSTUvCtDJOgsATH3ICoBw&amp;zoom=1&amp;iact=rc&amp;dur=375&amp;page=3&amp;tbnh=110&amp;tbnw=150&amp;start=49&amp;ndsp=30&amp;ved=1t:429,r:59,s:0,i:271&amp;tx=52&amp;ty=4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MPUTER%20APPS%202013-2014\WORD%20SKILLS\Decorate_Documents\Decorate%20Documents%20with%20Backgrounds,%20Borders,%20and%20Text%20Effec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2009-03-31T00:00:00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Decorate Documents with Backgrounds, Borders, and Text Effects</Template>
  <TotalTime>1</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Strategy document</vt:lpstr>
    </vt:vector>
  </TitlesOfParts>
  <Company>Microsoft Corporation</Company>
  <LinksUpToDate>false</LinksUpToDate>
  <CharactersWithSpaces>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document</dc:title>
  <dc:subject/>
  <dc:creator>NHBOE</dc:creator>
  <cp:keywords/>
  <dc:description/>
  <cp:lastModifiedBy>NHBOE</cp:lastModifiedBy>
  <cp:revision>2</cp:revision>
  <dcterms:created xsi:type="dcterms:W3CDTF">2013-11-25T13:57:00Z</dcterms:created>
  <dcterms:modified xsi:type="dcterms:W3CDTF">2013-11-25T13:57:00Z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RH102311121033</vt:lpwstr>
  </property>
</Properties>
</file>